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3F3" w:rsidRPr="00121EB5" w:rsidRDefault="008543F3" w:rsidP="00121EB5">
      <w:pPr>
        <w:spacing w:line="360" w:lineRule="auto"/>
        <w:jc w:val="center"/>
        <w:rPr>
          <w:sz w:val="28"/>
        </w:rPr>
      </w:pPr>
      <w:r w:rsidRPr="00121EB5">
        <w:rPr>
          <w:sz w:val="28"/>
        </w:rPr>
        <w:t>关于百年保险资产管理有限责任公司与百年人寿保险股份有限公司签订</w:t>
      </w:r>
      <w:r w:rsidR="001100D3" w:rsidRPr="001100D3">
        <w:rPr>
          <w:rFonts w:hint="eastAsia"/>
          <w:sz w:val="28"/>
        </w:rPr>
        <w:t>金融产品投资框架协议</w:t>
      </w:r>
      <w:r w:rsidRPr="00121EB5">
        <w:rPr>
          <w:sz w:val="28"/>
        </w:rPr>
        <w:t>情况的信息披露公告</w:t>
      </w:r>
    </w:p>
    <w:p w:rsidR="002442B5" w:rsidRPr="00121EB5" w:rsidRDefault="002442B5" w:rsidP="00121EB5">
      <w:pPr>
        <w:spacing w:line="360" w:lineRule="auto"/>
        <w:ind w:firstLineChars="200" w:firstLine="560"/>
        <w:rPr>
          <w:sz w:val="28"/>
        </w:rPr>
      </w:pPr>
    </w:p>
    <w:p w:rsidR="008543F3" w:rsidRPr="00121EB5" w:rsidRDefault="008543F3" w:rsidP="00121EB5">
      <w:pPr>
        <w:spacing w:line="360" w:lineRule="auto"/>
        <w:ind w:firstLineChars="200" w:firstLine="560"/>
        <w:rPr>
          <w:sz w:val="28"/>
        </w:rPr>
      </w:pPr>
      <w:r w:rsidRPr="00121EB5">
        <w:rPr>
          <w:sz w:val="28"/>
        </w:rPr>
        <w:t>根据中国</w:t>
      </w:r>
      <w:r w:rsidR="002F49B0">
        <w:rPr>
          <w:rFonts w:hint="eastAsia"/>
          <w:sz w:val="28"/>
        </w:rPr>
        <w:t>银</w:t>
      </w:r>
      <w:r w:rsidRPr="00121EB5">
        <w:rPr>
          <w:sz w:val="28"/>
        </w:rPr>
        <w:t>保监会《保险公司信息披露管理办法》（保监会令〔</w:t>
      </w:r>
      <w:r w:rsidRPr="00121EB5">
        <w:rPr>
          <w:sz w:val="28"/>
        </w:rPr>
        <w:t>2010</w:t>
      </w:r>
      <w:r w:rsidRPr="00121EB5">
        <w:rPr>
          <w:sz w:val="28"/>
        </w:rPr>
        <w:t>〕第</w:t>
      </w:r>
      <w:r w:rsidRPr="00121EB5">
        <w:rPr>
          <w:sz w:val="28"/>
        </w:rPr>
        <w:t>7</w:t>
      </w:r>
      <w:r w:rsidRPr="00121EB5">
        <w:rPr>
          <w:sz w:val="28"/>
        </w:rPr>
        <w:t>号）、《保险公司资金运用信息披露准则第</w:t>
      </w:r>
      <w:r w:rsidRPr="00121EB5">
        <w:rPr>
          <w:sz w:val="28"/>
        </w:rPr>
        <w:t xml:space="preserve">1 </w:t>
      </w:r>
      <w:r w:rsidRPr="00121EB5">
        <w:rPr>
          <w:sz w:val="28"/>
        </w:rPr>
        <w:t>号：关联交易》（保监发〔</w:t>
      </w:r>
      <w:r w:rsidRPr="00121EB5">
        <w:rPr>
          <w:sz w:val="28"/>
        </w:rPr>
        <w:t>2014</w:t>
      </w:r>
      <w:r w:rsidRPr="00121EB5">
        <w:rPr>
          <w:sz w:val="28"/>
        </w:rPr>
        <w:t>〕</w:t>
      </w:r>
      <w:r w:rsidRPr="00121EB5">
        <w:rPr>
          <w:sz w:val="28"/>
        </w:rPr>
        <w:t>44</w:t>
      </w:r>
      <w:r w:rsidRPr="00121EB5">
        <w:rPr>
          <w:sz w:val="28"/>
        </w:rPr>
        <w:t>号）、《中国保监会关于进一步加强保险公司关联交易信息披露工作有关问题的通知》（保监发〔</w:t>
      </w:r>
      <w:r w:rsidRPr="00121EB5">
        <w:rPr>
          <w:sz w:val="28"/>
        </w:rPr>
        <w:t>2016</w:t>
      </w:r>
      <w:r w:rsidRPr="00121EB5">
        <w:rPr>
          <w:sz w:val="28"/>
        </w:rPr>
        <w:t>〕</w:t>
      </w:r>
      <w:r w:rsidRPr="00121EB5">
        <w:rPr>
          <w:sz w:val="28"/>
        </w:rPr>
        <w:t>52</w:t>
      </w:r>
      <w:r w:rsidRPr="00121EB5">
        <w:rPr>
          <w:sz w:val="28"/>
        </w:rPr>
        <w:t>号）的要求，现将百年保险资产管理有限责任公司（以下简称</w:t>
      </w:r>
      <w:r w:rsidRPr="00121EB5">
        <w:rPr>
          <w:sz w:val="28"/>
        </w:rPr>
        <w:t>“</w:t>
      </w:r>
      <w:r w:rsidRPr="00121EB5">
        <w:rPr>
          <w:sz w:val="28"/>
        </w:rPr>
        <w:t>百年保险资管</w:t>
      </w:r>
      <w:r w:rsidRPr="00121EB5">
        <w:rPr>
          <w:sz w:val="28"/>
        </w:rPr>
        <w:t>”</w:t>
      </w:r>
      <w:r w:rsidRPr="00121EB5">
        <w:rPr>
          <w:sz w:val="28"/>
        </w:rPr>
        <w:t>）与百年人寿保险股份有限公司（以下简称</w:t>
      </w:r>
      <w:r w:rsidRPr="00121EB5">
        <w:rPr>
          <w:sz w:val="28"/>
        </w:rPr>
        <w:t>“</w:t>
      </w:r>
      <w:r w:rsidRPr="00121EB5">
        <w:rPr>
          <w:sz w:val="28"/>
        </w:rPr>
        <w:t>百年人寿</w:t>
      </w:r>
      <w:r w:rsidRPr="00121EB5">
        <w:rPr>
          <w:sz w:val="28"/>
        </w:rPr>
        <w:t>”</w:t>
      </w:r>
      <w:r w:rsidRPr="00121EB5">
        <w:rPr>
          <w:sz w:val="28"/>
        </w:rPr>
        <w:t>）签订</w:t>
      </w:r>
      <w:r w:rsidR="001100D3" w:rsidRPr="001100D3">
        <w:rPr>
          <w:rFonts w:hint="eastAsia"/>
          <w:sz w:val="28"/>
        </w:rPr>
        <w:t>金融产品投资框架协议</w:t>
      </w:r>
      <w:r w:rsidRPr="00121EB5">
        <w:rPr>
          <w:sz w:val="28"/>
        </w:rPr>
        <w:t>涉及资金运用重大关联交易的有关信息披露如下：</w:t>
      </w:r>
    </w:p>
    <w:p w:rsidR="008543F3" w:rsidRPr="00121EB5" w:rsidRDefault="008543F3" w:rsidP="00121EB5">
      <w:pPr>
        <w:spacing w:line="360" w:lineRule="auto"/>
        <w:ind w:firstLineChars="200" w:firstLine="560"/>
        <w:rPr>
          <w:sz w:val="28"/>
        </w:rPr>
      </w:pPr>
      <w:r w:rsidRPr="00121EB5">
        <w:rPr>
          <w:sz w:val="28"/>
        </w:rPr>
        <w:t>一、关联交易概述及交易标的基本情况</w:t>
      </w:r>
    </w:p>
    <w:p w:rsidR="008543F3" w:rsidRPr="00121EB5" w:rsidRDefault="008543F3" w:rsidP="00121EB5">
      <w:pPr>
        <w:spacing w:line="360" w:lineRule="auto"/>
        <w:ind w:firstLineChars="200" w:firstLine="560"/>
        <w:rPr>
          <w:sz w:val="28"/>
        </w:rPr>
      </w:pPr>
      <w:r w:rsidRPr="00121EB5">
        <w:rPr>
          <w:sz w:val="28"/>
        </w:rPr>
        <w:t>（一）交易概述</w:t>
      </w:r>
    </w:p>
    <w:p w:rsidR="001100D3" w:rsidRDefault="008543F3" w:rsidP="001100D3">
      <w:pPr>
        <w:spacing w:line="360" w:lineRule="auto"/>
        <w:ind w:firstLineChars="200" w:firstLine="560"/>
        <w:rPr>
          <w:sz w:val="28"/>
        </w:rPr>
      </w:pPr>
      <w:r w:rsidRPr="00121EB5">
        <w:rPr>
          <w:sz w:val="28"/>
        </w:rPr>
        <w:t>百年保险资管与百年人寿签订</w:t>
      </w:r>
      <w:r w:rsidR="00ED64E6">
        <w:rPr>
          <w:rFonts w:hint="eastAsia"/>
          <w:sz w:val="28"/>
        </w:rPr>
        <w:t>《</w:t>
      </w:r>
      <w:r w:rsidR="001100D3" w:rsidRPr="001100D3">
        <w:rPr>
          <w:rFonts w:hint="eastAsia"/>
          <w:sz w:val="28"/>
        </w:rPr>
        <w:t>金融产品投资框架协议</w:t>
      </w:r>
      <w:r w:rsidR="00ED64E6">
        <w:rPr>
          <w:rFonts w:hint="eastAsia"/>
          <w:sz w:val="28"/>
        </w:rPr>
        <w:t>》（以下简称“框架协议”</w:t>
      </w:r>
      <w:r w:rsidR="00E177AB">
        <w:rPr>
          <w:rFonts w:hint="eastAsia"/>
          <w:sz w:val="28"/>
        </w:rPr>
        <w:t>或“协议”</w:t>
      </w:r>
      <w:r w:rsidR="00ED64E6">
        <w:rPr>
          <w:rFonts w:hint="eastAsia"/>
          <w:sz w:val="28"/>
        </w:rPr>
        <w:t>）</w:t>
      </w:r>
      <w:r w:rsidRPr="00121EB5">
        <w:rPr>
          <w:sz w:val="28"/>
        </w:rPr>
        <w:t>。本协议适用于</w:t>
      </w:r>
      <w:r w:rsidR="001100D3">
        <w:rPr>
          <w:rFonts w:hint="eastAsia"/>
          <w:sz w:val="28"/>
        </w:rPr>
        <w:t>合同有效期内百年人寿</w:t>
      </w:r>
      <w:r w:rsidR="001100D3" w:rsidRPr="001100D3">
        <w:rPr>
          <w:rFonts w:hint="eastAsia"/>
          <w:sz w:val="28"/>
        </w:rPr>
        <w:t>持续认购</w:t>
      </w:r>
      <w:r w:rsidR="001100D3">
        <w:rPr>
          <w:rFonts w:hint="eastAsia"/>
          <w:sz w:val="28"/>
        </w:rPr>
        <w:t>百年</w:t>
      </w:r>
      <w:r w:rsidR="003B67E0">
        <w:rPr>
          <w:rFonts w:hint="eastAsia"/>
          <w:sz w:val="28"/>
        </w:rPr>
        <w:t>保险</w:t>
      </w:r>
      <w:r w:rsidR="001100D3">
        <w:rPr>
          <w:rFonts w:hint="eastAsia"/>
          <w:sz w:val="28"/>
        </w:rPr>
        <w:t>资管</w:t>
      </w:r>
      <w:r w:rsidR="001100D3" w:rsidRPr="001100D3">
        <w:rPr>
          <w:rFonts w:hint="eastAsia"/>
          <w:sz w:val="28"/>
        </w:rPr>
        <w:t>发行的金融产品</w:t>
      </w:r>
      <w:r w:rsidR="001100D3">
        <w:rPr>
          <w:rFonts w:hint="eastAsia"/>
          <w:sz w:val="28"/>
        </w:rPr>
        <w:t>，</w:t>
      </w:r>
      <w:r w:rsidR="009277D5" w:rsidRPr="00121EB5">
        <w:rPr>
          <w:sz w:val="28"/>
        </w:rPr>
        <w:t>本次交易构成百年保险资管与百年人寿之间的重大关联交易。</w:t>
      </w:r>
    </w:p>
    <w:p w:rsidR="008543F3" w:rsidRPr="00121EB5" w:rsidRDefault="008543F3" w:rsidP="00121EB5">
      <w:pPr>
        <w:spacing w:line="360" w:lineRule="auto"/>
        <w:ind w:firstLineChars="200" w:firstLine="560"/>
        <w:rPr>
          <w:sz w:val="28"/>
        </w:rPr>
      </w:pPr>
      <w:r w:rsidRPr="00121EB5">
        <w:rPr>
          <w:sz w:val="28"/>
        </w:rPr>
        <w:t>（二）</w:t>
      </w:r>
      <w:r w:rsidR="004C053D">
        <w:rPr>
          <w:rFonts w:hint="eastAsia"/>
          <w:sz w:val="28"/>
        </w:rPr>
        <w:t>交易</w:t>
      </w:r>
      <w:r w:rsidR="005B33CC">
        <w:rPr>
          <w:rFonts w:hint="eastAsia"/>
          <w:sz w:val="28"/>
        </w:rPr>
        <w:t>标的</w:t>
      </w:r>
      <w:r w:rsidRPr="00121EB5">
        <w:rPr>
          <w:sz w:val="28"/>
        </w:rPr>
        <w:t>基本情况</w:t>
      </w:r>
    </w:p>
    <w:p w:rsidR="004E7038" w:rsidRPr="00121EB5" w:rsidRDefault="005C0FFB" w:rsidP="004E7038">
      <w:pPr>
        <w:spacing w:line="360" w:lineRule="auto"/>
        <w:ind w:firstLineChars="200" w:firstLine="560"/>
        <w:rPr>
          <w:sz w:val="28"/>
        </w:rPr>
      </w:pPr>
      <w:r>
        <w:rPr>
          <w:rFonts w:hint="eastAsia"/>
          <w:sz w:val="28"/>
        </w:rPr>
        <w:t>框架</w:t>
      </w:r>
      <w:r w:rsidR="008543F3" w:rsidRPr="00121EB5">
        <w:rPr>
          <w:sz w:val="28"/>
        </w:rPr>
        <w:t>协议的内容为</w:t>
      </w:r>
      <w:r w:rsidR="005B33CC" w:rsidRPr="005B33CC">
        <w:rPr>
          <w:rFonts w:hint="eastAsia"/>
          <w:sz w:val="28"/>
        </w:rPr>
        <w:t>百年人寿</w:t>
      </w:r>
      <w:r w:rsidR="00E177AB">
        <w:rPr>
          <w:rFonts w:hint="eastAsia"/>
          <w:sz w:val="28"/>
        </w:rPr>
        <w:t>在合同</w:t>
      </w:r>
      <w:r w:rsidR="00716641">
        <w:rPr>
          <w:rFonts w:hint="eastAsia"/>
          <w:sz w:val="28"/>
        </w:rPr>
        <w:t>有效期内</w:t>
      </w:r>
      <w:r w:rsidR="005B33CC" w:rsidRPr="005B33CC">
        <w:rPr>
          <w:rFonts w:hint="eastAsia"/>
          <w:sz w:val="28"/>
        </w:rPr>
        <w:t>认购百年保险资管发行的不动产投资计划、资产支持计划、组合类保险资产管理产品等金融产品</w:t>
      </w:r>
      <w:r w:rsidR="005B33CC">
        <w:rPr>
          <w:rFonts w:hint="eastAsia"/>
          <w:sz w:val="28"/>
        </w:rPr>
        <w:t>。</w:t>
      </w:r>
      <w:r w:rsidR="004E7038" w:rsidRPr="004E7038">
        <w:rPr>
          <w:rFonts w:hint="eastAsia"/>
          <w:sz w:val="28"/>
        </w:rPr>
        <w:t>金融产品所投资的底层基础资产不得涉及百年人寿或百年保险资管的其他关联方，如涉及，则必须另行签署关联交易合同并按</w:t>
      </w:r>
      <w:r w:rsidR="004E7038" w:rsidRPr="004E7038">
        <w:rPr>
          <w:rFonts w:hint="eastAsia"/>
          <w:sz w:val="28"/>
        </w:rPr>
        <w:lastRenderedPageBreak/>
        <w:t>照</w:t>
      </w:r>
      <w:r w:rsidR="002F49B0">
        <w:rPr>
          <w:rFonts w:hint="eastAsia"/>
          <w:sz w:val="28"/>
        </w:rPr>
        <w:t>银</w:t>
      </w:r>
      <w:r w:rsidR="004E7038" w:rsidRPr="004E7038">
        <w:rPr>
          <w:rFonts w:hint="eastAsia"/>
          <w:sz w:val="28"/>
        </w:rPr>
        <w:t>保监会规定审批、报告及对外披露。</w:t>
      </w:r>
    </w:p>
    <w:p w:rsidR="008543F3" w:rsidRPr="00121EB5" w:rsidRDefault="008543F3" w:rsidP="00121EB5">
      <w:pPr>
        <w:spacing w:line="360" w:lineRule="auto"/>
        <w:ind w:firstLineChars="200" w:firstLine="560"/>
        <w:rPr>
          <w:sz w:val="28"/>
        </w:rPr>
      </w:pPr>
      <w:r w:rsidRPr="00121EB5">
        <w:rPr>
          <w:sz w:val="28"/>
        </w:rPr>
        <w:t>二、交易对手情况</w:t>
      </w:r>
    </w:p>
    <w:p w:rsidR="008543F3" w:rsidRPr="00121EB5" w:rsidRDefault="008543F3" w:rsidP="00121EB5">
      <w:pPr>
        <w:spacing w:line="360" w:lineRule="auto"/>
        <w:ind w:firstLineChars="200" w:firstLine="560"/>
        <w:rPr>
          <w:sz w:val="28"/>
        </w:rPr>
      </w:pPr>
      <w:r w:rsidRPr="00121EB5">
        <w:rPr>
          <w:sz w:val="28"/>
        </w:rPr>
        <w:t>（一）交易各方的关联关系</w:t>
      </w:r>
    </w:p>
    <w:p w:rsidR="008543F3" w:rsidRPr="00121EB5" w:rsidRDefault="008543F3" w:rsidP="00121EB5">
      <w:pPr>
        <w:spacing w:line="360" w:lineRule="auto"/>
        <w:ind w:firstLineChars="200" w:firstLine="560"/>
        <w:rPr>
          <w:sz w:val="28"/>
        </w:rPr>
      </w:pPr>
      <w:r w:rsidRPr="00121EB5">
        <w:rPr>
          <w:sz w:val="28"/>
        </w:rPr>
        <w:t>百年人寿为百年保险资管的控股股东，百年人寿的持股比例为</w:t>
      </w:r>
      <w:r w:rsidRPr="00121EB5">
        <w:rPr>
          <w:sz w:val="28"/>
        </w:rPr>
        <w:t>80%</w:t>
      </w:r>
      <w:r w:rsidRPr="00121EB5">
        <w:rPr>
          <w:sz w:val="28"/>
        </w:rPr>
        <w:t>，因此百年人寿构成百年保险资管的关联方。</w:t>
      </w:r>
    </w:p>
    <w:p w:rsidR="008543F3" w:rsidRPr="00121EB5" w:rsidRDefault="008543F3" w:rsidP="00121EB5">
      <w:pPr>
        <w:spacing w:line="360" w:lineRule="auto"/>
        <w:ind w:firstLineChars="200" w:firstLine="560"/>
        <w:rPr>
          <w:sz w:val="28"/>
        </w:rPr>
      </w:pPr>
      <w:r w:rsidRPr="00121EB5">
        <w:rPr>
          <w:sz w:val="28"/>
        </w:rPr>
        <w:t>（二）关联方基本情况</w:t>
      </w:r>
    </w:p>
    <w:p w:rsidR="008543F3" w:rsidRPr="00121EB5" w:rsidRDefault="008543F3" w:rsidP="00121EB5">
      <w:pPr>
        <w:spacing w:line="360" w:lineRule="auto"/>
        <w:ind w:firstLineChars="200" w:firstLine="560"/>
        <w:rPr>
          <w:sz w:val="28"/>
        </w:rPr>
      </w:pPr>
      <w:r w:rsidRPr="00121EB5">
        <w:rPr>
          <w:sz w:val="28"/>
        </w:rPr>
        <w:t>百年人寿是经中国保险监督管理委员会批准成立的全国性人寿保险公司，</w:t>
      </w:r>
      <w:r w:rsidRPr="00121EB5">
        <w:rPr>
          <w:sz w:val="28"/>
        </w:rPr>
        <w:t>2009</w:t>
      </w:r>
      <w:r w:rsidRPr="00121EB5">
        <w:rPr>
          <w:sz w:val="28"/>
        </w:rPr>
        <w:t>年</w:t>
      </w:r>
      <w:r w:rsidRPr="00121EB5">
        <w:rPr>
          <w:sz w:val="28"/>
        </w:rPr>
        <w:t>6</w:t>
      </w:r>
      <w:r w:rsidRPr="00121EB5">
        <w:rPr>
          <w:sz w:val="28"/>
        </w:rPr>
        <w:t>月</w:t>
      </w:r>
      <w:r w:rsidRPr="00121EB5">
        <w:rPr>
          <w:sz w:val="28"/>
        </w:rPr>
        <w:t>3</w:t>
      </w:r>
      <w:r w:rsidRPr="00121EB5">
        <w:rPr>
          <w:sz w:val="28"/>
        </w:rPr>
        <w:t>日正式开业，总部选址大连，是东北地区首家中资寿险法人机构。公司注册资本</w:t>
      </w:r>
      <w:r w:rsidRPr="00121EB5">
        <w:rPr>
          <w:sz w:val="28"/>
        </w:rPr>
        <w:t>77.948</w:t>
      </w:r>
      <w:r w:rsidRPr="00121EB5">
        <w:rPr>
          <w:sz w:val="28"/>
        </w:rPr>
        <w:t>亿元，经营范围包括：人寿保险、健康保险、意外伤害保险等各类人身保险业务；上述业务的再保险业务；国家法律、法规允许的保险资金运用业务；经中国保监会批准的其他业务。</w:t>
      </w:r>
    </w:p>
    <w:p w:rsidR="008543F3" w:rsidRPr="00121EB5" w:rsidRDefault="008543F3" w:rsidP="00121EB5">
      <w:pPr>
        <w:spacing w:line="360" w:lineRule="auto"/>
        <w:ind w:firstLineChars="200" w:firstLine="560"/>
        <w:rPr>
          <w:sz w:val="28"/>
        </w:rPr>
      </w:pPr>
      <w:r w:rsidRPr="00121EB5">
        <w:rPr>
          <w:sz w:val="28"/>
        </w:rPr>
        <w:t>三、关联交易的</w:t>
      </w:r>
      <w:r w:rsidR="004E7038">
        <w:rPr>
          <w:rFonts w:hint="eastAsia"/>
          <w:sz w:val="28"/>
        </w:rPr>
        <w:t>主要内容</w:t>
      </w:r>
      <w:r w:rsidR="00924F06">
        <w:rPr>
          <w:rFonts w:hint="eastAsia"/>
          <w:sz w:val="28"/>
        </w:rPr>
        <w:t>和定价政策</w:t>
      </w:r>
    </w:p>
    <w:p w:rsidR="00924F06" w:rsidRDefault="008543F3" w:rsidP="00121EB5">
      <w:pPr>
        <w:spacing w:line="360" w:lineRule="auto"/>
        <w:ind w:firstLineChars="200" w:firstLine="560"/>
        <w:rPr>
          <w:sz w:val="28"/>
        </w:rPr>
      </w:pPr>
      <w:r w:rsidRPr="00121EB5">
        <w:rPr>
          <w:sz w:val="28"/>
        </w:rPr>
        <w:t>（一）</w:t>
      </w:r>
      <w:r w:rsidR="00924F06">
        <w:rPr>
          <w:rFonts w:hint="eastAsia"/>
          <w:sz w:val="28"/>
        </w:rPr>
        <w:t>定价政策</w:t>
      </w:r>
    </w:p>
    <w:p w:rsidR="004E7038" w:rsidRPr="00121EB5" w:rsidRDefault="00924F06" w:rsidP="005527B5">
      <w:pPr>
        <w:spacing w:line="360" w:lineRule="auto"/>
        <w:ind w:firstLineChars="200" w:firstLine="560"/>
        <w:rPr>
          <w:sz w:val="28"/>
        </w:rPr>
      </w:pPr>
      <w:r>
        <w:rPr>
          <w:rFonts w:hint="eastAsia"/>
          <w:sz w:val="28"/>
        </w:rPr>
        <w:t>交易定价遵循平等互利的原则，综合市场、服务等因素定价，按照</w:t>
      </w:r>
      <w:r w:rsidRPr="00924F06">
        <w:rPr>
          <w:rFonts w:hint="eastAsia"/>
          <w:sz w:val="28"/>
        </w:rPr>
        <w:t>公允的市场价格开展</w:t>
      </w:r>
      <w:r>
        <w:rPr>
          <w:rFonts w:hint="eastAsia"/>
          <w:sz w:val="28"/>
        </w:rPr>
        <w:t>交易活动。</w:t>
      </w:r>
    </w:p>
    <w:p w:rsidR="00924F06" w:rsidRDefault="008543F3" w:rsidP="004E7038">
      <w:pPr>
        <w:spacing w:line="360" w:lineRule="auto"/>
        <w:ind w:firstLineChars="200" w:firstLine="560"/>
        <w:rPr>
          <w:sz w:val="28"/>
        </w:rPr>
      </w:pPr>
      <w:r w:rsidRPr="00121EB5">
        <w:rPr>
          <w:sz w:val="28"/>
        </w:rPr>
        <w:t>（二）</w:t>
      </w:r>
      <w:r w:rsidR="00924F06">
        <w:rPr>
          <w:rFonts w:hint="eastAsia"/>
          <w:sz w:val="28"/>
        </w:rPr>
        <w:t>交易价格和结算方式</w:t>
      </w:r>
    </w:p>
    <w:p w:rsidR="004E7038" w:rsidRDefault="00924F06" w:rsidP="004E7038">
      <w:pPr>
        <w:spacing w:line="360" w:lineRule="auto"/>
        <w:ind w:firstLineChars="200" w:firstLine="560"/>
        <w:rPr>
          <w:sz w:val="28"/>
        </w:rPr>
      </w:pPr>
      <w:r>
        <w:rPr>
          <w:rFonts w:hint="eastAsia"/>
          <w:sz w:val="28"/>
        </w:rPr>
        <w:t>双方</w:t>
      </w:r>
      <w:r w:rsidRPr="004E7038">
        <w:rPr>
          <w:rFonts w:hint="eastAsia"/>
          <w:sz w:val="28"/>
        </w:rPr>
        <w:t>遵照当时有效的法律、法规的规定，并按照一般商业惯例及公平、合理的原则</w:t>
      </w:r>
      <w:r w:rsidR="008853EC">
        <w:rPr>
          <w:rFonts w:hint="eastAsia"/>
          <w:sz w:val="28"/>
        </w:rPr>
        <w:t>，</w:t>
      </w:r>
      <w:r w:rsidRPr="004E7038">
        <w:rPr>
          <w:rFonts w:hint="eastAsia"/>
          <w:sz w:val="28"/>
        </w:rPr>
        <w:t>就</w:t>
      </w:r>
      <w:r w:rsidR="00205165">
        <w:rPr>
          <w:rFonts w:hint="eastAsia"/>
          <w:sz w:val="28"/>
        </w:rPr>
        <w:t>框架协议</w:t>
      </w:r>
      <w:r w:rsidRPr="004E7038">
        <w:rPr>
          <w:rFonts w:hint="eastAsia"/>
          <w:sz w:val="28"/>
        </w:rPr>
        <w:t>项下每一笔业务的种类、价格、款项的支付方式等具体内容，另外签订具体的合同或出具认可交易的书面文件。同一金融产品，</w:t>
      </w:r>
      <w:r w:rsidR="00205165">
        <w:rPr>
          <w:rFonts w:hint="eastAsia"/>
          <w:sz w:val="28"/>
        </w:rPr>
        <w:t>百年保险资管</w:t>
      </w:r>
      <w:r w:rsidRPr="004E7038">
        <w:rPr>
          <w:rFonts w:hint="eastAsia"/>
          <w:sz w:val="28"/>
        </w:rPr>
        <w:t>向</w:t>
      </w:r>
      <w:r w:rsidR="00205165">
        <w:rPr>
          <w:rFonts w:hint="eastAsia"/>
          <w:sz w:val="28"/>
        </w:rPr>
        <w:t>百年人寿</w:t>
      </w:r>
      <w:r w:rsidRPr="004E7038">
        <w:rPr>
          <w:rFonts w:hint="eastAsia"/>
          <w:sz w:val="28"/>
        </w:rPr>
        <w:t>收取的管理费等费用的费率不得高于</w:t>
      </w:r>
      <w:r w:rsidR="00205165">
        <w:rPr>
          <w:rFonts w:hint="eastAsia"/>
          <w:sz w:val="28"/>
        </w:rPr>
        <w:t>百年保险资管</w:t>
      </w:r>
      <w:r w:rsidRPr="004E7038">
        <w:rPr>
          <w:rFonts w:hint="eastAsia"/>
          <w:sz w:val="28"/>
        </w:rPr>
        <w:t>向</w:t>
      </w:r>
      <w:r w:rsidR="00205165">
        <w:rPr>
          <w:rFonts w:hint="eastAsia"/>
          <w:sz w:val="28"/>
        </w:rPr>
        <w:t>其他</w:t>
      </w:r>
      <w:r w:rsidRPr="004E7038">
        <w:rPr>
          <w:rFonts w:hint="eastAsia"/>
          <w:sz w:val="28"/>
        </w:rPr>
        <w:t>认购方收取的管理费等费用的</w:t>
      </w:r>
      <w:r w:rsidRPr="004E7038">
        <w:rPr>
          <w:rFonts w:hint="eastAsia"/>
          <w:sz w:val="28"/>
        </w:rPr>
        <w:lastRenderedPageBreak/>
        <w:t>费率。</w:t>
      </w:r>
    </w:p>
    <w:p w:rsidR="008543F3" w:rsidRPr="00121EB5" w:rsidRDefault="004E7038" w:rsidP="00205165">
      <w:pPr>
        <w:spacing w:line="360" w:lineRule="auto"/>
        <w:ind w:firstLineChars="200" w:firstLine="560"/>
        <w:rPr>
          <w:sz w:val="28"/>
        </w:rPr>
      </w:pPr>
      <w:r w:rsidRPr="004E7038">
        <w:rPr>
          <w:rFonts w:hint="eastAsia"/>
          <w:sz w:val="28"/>
        </w:rPr>
        <w:t>百年人寿每年度（首年度是指自本协议生效之日起至生效后满一年之日止，次年是指生效后满一年之日的次日起至生效后满两年之日止，依次类推）累计新增认购百年保险资管发行的金融产品的额度不超过百年人寿上季末总资产的</w:t>
      </w:r>
      <w:r w:rsidRPr="004E7038">
        <w:rPr>
          <w:rFonts w:hint="eastAsia"/>
          <w:sz w:val="28"/>
        </w:rPr>
        <w:t>30%</w:t>
      </w:r>
      <w:r w:rsidRPr="004E7038">
        <w:rPr>
          <w:rFonts w:hint="eastAsia"/>
          <w:sz w:val="28"/>
        </w:rPr>
        <w:t>，但同时不得超过监管机构对资金运用关联</w:t>
      </w:r>
      <w:r>
        <w:rPr>
          <w:rFonts w:hint="eastAsia"/>
          <w:sz w:val="28"/>
        </w:rPr>
        <w:t>交易投资比例的要求。对投资额度内的单笔交易不再进行关联交易审查。</w:t>
      </w:r>
    </w:p>
    <w:p w:rsidR="008543F3" w:rsidRPr="000C7480" w:rsidRDefault="008543F3" w:rsidP="00121EB5">
      <w:pPr>
        <w:spacing w:line="360" w:lineRule="auto"/>
        <w:ind w:firstLineChars="200" w:firstLine="560"/>
        <w:rPr>
          <w:sz w:val="28"/>
        </w:rPr>
      </w:pPr>
      <w:r w:rsidRPr="000C7480">
        <w:rPr>
          <w:sz w:val="28"/>
        </w:rPr>
        <w:t>（三）协议生效条件、履行期限</w:t>
      </w:r>
    </w:p>
    <w:p w:rsidR="008543F3" w:rsidRPr="00121EB5" w:rsidRDefault="00813F4A" w:rsidP="004E7038">
      <w:pPr>
        <w:spacing w:line="360" w:lineRule="auto"/>
        <w:ind w:firstLineChars="200" w:firstLine="560"/>
        <w:rPr>
          <w:sz w:val="28"/>
        </w:rPr>
      </w:pPr>
      <w:r>
        <w:rPr>
          <w:rFonts w:hint="eastAsia"/>
          <w:sz w:val="28"/>
        </w:rPr>
        <w:t>本框架</w:t>
      </w:r>
      <w:r w:rsidR="004E7038" w:rsidRPr="000C7480">
        <w:rPr>
          <w:rFonts w:hint="eastAsia"/>
          <w:sz w:val="28"/>
        </w:rPr>
        <w:t>协议</w:t>
      </w:r>
      <w:r w:rsidR="00205165">
        <w:rPr>
          <w:rFonts w:hint="eastAsia"/>
          <w:sz w:val="28"/>
        </w:rPr>
        <w:t>经双</w:t>
      </w:r>
      <w:r w:rsidR="004E7038" w:rsidRPr="000C7480">
        <w:rPr>
          <w:rFonts w:hint="eastAsia"/>
          <w:sz w:val="28"/>
        </w:rPr>
        <w:t>方盖章后生效</w:t>
      </w:r>
      <w:r w:rsidR="00205165">
        <w:rPr>
          <w:rFonts w:hint="eastAsia"/>
          <w:sz w:val="28"/>
        </w:rPr>
        <w:t>，</w:t>
      </w:r>
      <w:r w:rsidR="007F6B5A">
        <w:rPr>
          <w:rFonts w:hint="eastAsia"/>
          <w:sz w:val="28"/>
        </w:rPr>
        <w:t>履行期限为</w:t>
      </w:r>
      <w:r w:rsidR="007F6B5A">
        <w:rPr>
          <w:rFonts w:hint="eastAsia"/>
          <w:sz w:val="28"/>
        </w:rPr>
        <w:t>2018</w:t>
      </w:r>
      <w:r w:rsidR="007F6B5A">
        <w:rPr>
          <w:rFonts w:hint="eastAsia"/>
          <w:sz w:val="28"/>
        </w:rPr>
        <w:t>年</w:t>
      </w:r>
      <w:r w:rsidR="00753600">
        <w:rPr>
          <w:rFonts w:hint="eastAsia"/>
          <w:sz w:val="28"/>
        </w:rPr>
        <w:t>1</w:t>
      </w:r>
      <w:r w:rsidR="007F6B5A">
        <w:rPr>
          <w:rFonts w:hint="eastAsia"/>
          <w:sz w:val="28"/>
        </w:rPr>
        <w:t>月</w:t>
      </w:r>
      <w:r w:rsidR="00753600">
        <w:rPr>
          <w:rFonts w:hint="eastAsia"/>
          <w:sz w:val="28"/>
        </w:rPr>
        <w:t>1</w:t>
      </w:r>
      <w:r w:rsidR="007F6B5A">
        <w:rPr>
          <w:rFonts w:hint="eastAsia"/>
          <w:sz w:val="28"/>
        </w:rPr>
        <w:t>日至</w:t>
      </w:r>
      <w:r w:rsidR="007F6B5A">
        <w:rPr>
          <w:rFonts w:hint="eastAsia"/>
          <w:sz w:val="28"/>
        </w:rPr>
        <w:t>202</w:t>
      </w:r>
      <w:r w:rsidR="00753600">
        <w:rPr>
          <w:rFonts w:hint="eastAsia"/>
          <w:sz w:val="28"/>
        </w:rPr>
        <w:t>0</w:t>
      </w:r>
      <w:r w:rsidR="007F6B5A">
        <w:rPr>
          <w:rFonts w:hint="eastAsia"/>
          <w:sz w:val="28"/>
        </w:rPr>
        <w:t>年</w:t>
      </w:r>
      <w:r w:rsidR="00753600">
        <w:rPr>
          <w:rFonts w:hint="eastAsia"/>
          <w:sz w:val="28"/>
        </w:rPr>
        <w:t>12</w:t>
      </w:r>
      <w:r w:rsidR="007F6B5A">
        <w:rPr>
          <w:rFonts w:hint="eastAsia"/>
          <w:sz w:val="28"/>
        </w:rPr>
        <w:t>月</w:t>
      </w:r>
      <w:r w:rsidR="00753600">
        <w:rPr>
          <w:rFonts w:hint="eastAsia"/>
          <w:sz w:val="28"/>
        </w:rPr>
        <w:t>31</w:t>
      </w:r>
      <w:r w:rsidR="007F6B5A">
        <w:rPr>
          <w:rFonts w:hint="eastAsia"/>
          <w:sz w:val="28"/>
        </w:rPr>
        <w:t>日。</w:t>
      </w:r>
    </w:p>
    <w:p w:rsidR="008543F3" w:rsidRPr="00121EB5" w:rsidRDefault="008543F3" w:rsidP="00121EB5">
      <w:pPr>
        <w:spacing w:line="360" w:lineRule="auto"/>
        <w:ind w:firstLineChars="200" w:firstLine="560"/>
        <w:rPr>
          <w:sz w:val="28"/>
        </w:rPr>
      </w:pPr>
      <w:r w:rsidRPr="00121EB5">
        <w:rPr>
          <w:sz w:val="28"/>
        </w:rPr>
        <w:t>四、本年度与该关联方已发生</w:t>
      </w:r>
      <w:bookmarkStart w:id="0" w:name="_GoBack"/>
      <w:bookmarkEnd w:id="0"/>
      <w:r w:rsidRPr="00121EB5">
        <w:rPr>
          <w:sz w:val="28"/>
        </w:rPr>
        <w:t>的关联交易累计金额</w:t>
      </w:r>
    </w:p>
    <w:p w:rsidR="007B2591" w:rsidRDefault="007B2591" w:rsidP="00121EB5">
      <w:pPr>
        <w:spacing w:line="360" w:lineRule="auto"/>
        <w:ind w:firstLineChars="200" w:firstLine="560"/>
        <w:rPr>
          <w:sz w:val="28"/>
        </w:rPr>
      </w:pPr>
      <w:r w:rsidRPr="003B74D7">
        <w:rPr>
          <w:rFonts w:hint="eastAsia"/>
          <w:sz w:val="28"/>
        </w:rPr>
        <w:t>截止</w:t>
      </w:r>
      <w:r w:rsidRPr="003B74D7">
        <w:rPr>
          <w:rFonts w:hint="eastAsia"/>
          <w:sz w:val="28"/>
        </w:rPr>
        <w:t>2018</w:t>
      </w:r>
      <w:r w:rsidRPr="003B74D7">
        <w:rPr>
          <w:rFonts w:hint="eastAsia"/>
          <w:sz w:val="28"/>
        </w:rPr>
        <w:t>年</w:t>
      </w:r>
      <w:r w:rsidR="00F41F63">
        <w:rPr>
          <w:rFonts w:hint="eastAsia"/>
          <w:sz w:val="28"/>
        </w:rPr>
        <w:t>4</w:t>
      </w:r>
      <w:r w:rsidRPr="003B74D7">
        <w:rPr>
          <w:rFonts w:hint="eastAsia"/>
          <w:sz w:val="28"/>
        </w:rPr>
        <w:t>月</w:t>
      </w:r>
      <w:r w:rsidR="00F41F63">
        <w:rPr>
          <w:rFonts w:hint="eastAsia"/>
          <w:sz w:val="28"/>
        </w:rPr>
        <w:t>30</w:t>
      </w:r>
      <w:r w:rsidRPr="003B74D7">
        <w:rPr>
          <w:rFonts w:hint="eastAsia"/>
          <w:sz w:val="28"/>
        </w:rPr>
        <w:t>日，百年保险资管</w:t>
      </w:r>
      <w:r w:rsidR="005527B5" w:rsidRPr="00080A30">
        <w:rPr>
          <w:rFonts w:hint="eastAsia"/>
          <w:sz w:val="28"/>
        </w:rPr>
        <w:t>与百年人寿</w:t>
      </w:r>
      <w:r w:rsidR="003B74D7">
        <w:rPr>
          <w:rFonts w:hint="eastAsia"/>
          <w:sz w:val="28"/>
        </w:rPr>
        <w:t>本年度</w:t>
      </w:r>
      <w:r w:rsidR="005527B5" w:rsidRPr="00080A30">
        <w:rPr>
          <w:rFonts w:hint="eastAsia"/>
          <w:sz w:val="28"/>
        </w:rPr>
        <w:t>累计已发生的关联交易金额</w:t>
      </w:r>
      <w:r w:rsidR="005527B5">
        <w:rPr>
          <w:rFonts w:hint="eastAsia"/>
          <w:sz w:val="28"/>
        </w:rPr>
        <w:t>为</w:t>
      </w:r>
      <w:r w:rsidR="00FB2235">
        <w:rPr>
          <w:rFonts w:hint="eastAsia"/>
          <w:sz w:val="28"/>
        </w:rPr>
        <w:t>3359.38</w:t>
      </w:r>
      <w:r w:rsidR="005527B5">
        <w:rPr>
          <w:rFonts w:hint="eastAsia"/>
          <w:sz w:val="28"/>
        </w:rPr>
        <w:t>万元，</w:t>
      </w:r>
      <w:r w:rsidR="00AA0663">
        <w:rPr>
          <w:rFonts w:hint="eastAsia"/>
          <w:sz w:val="28"/>
        </w:rPr>
        <w:t>主要为委托投资发生的管理费</w:t>
      </w:r>
      <w:r w:rsidR="005527B5">
        <w:rPr>
          <w:rFonts w:hint="eastAsia"/>
          <w:sz w:val="28"/>
        </w:rPr>
        <w:t>。</w:t>
      </w:r>
    </w:p>
    <w:p w:rsidR="008543F3" w:rsidRPr="00121EB5" w:rsidRDefault="008543F3" w:rsidP="00121EB5">
      <w:pPr>
        <w:spacing w:line="360" w:lineRule="auto"/>
        <w:ind w:firstLineChars="200" w:firstLine="560"/>
        <w:rPr>
          <w:sz w:val="28"/>
        </w:rPr>
      </w:pPr>
      <w:r w:rsidRPr="00121EB5">
        <w:rPr>
          <w:sz w:val="28"/>
        </w:rPr>
        <w:t>五、交易决策及审计情况</w:t>
      </w:r>
    </w:p>
    <w:p w:rsidR="008543F3" w:rsidRPr="00121EB5" w:rsidRDefault="00DE65A2" w:rsidP="00121EB5">
      <w:pPr>
        <w:spacing w:line="360" w:lineRule="auto"/>
        <w:ind w:firstLineChars="200" w:firstLine="560"/>
        <w:rPr>
          <w:sz w:val="28"/>
        </w:rPr>
      </w:pPr>
      <w:r w:rsidRPr="00DE65A2">
        <w:rPr>
          <w:sz w:val="28"/>
        </w:rPr>
        <w:t>百年保险资管第一届董事会第</w:t>
      </w:r>
      <w:r w:rsidRPr="00DE65A2">
        <w:rPr>
          <w:rFonts w:hint="eastAsia"/>
          <w:sz w:val="28"/>
        </w:rPr>
        <w:t>七</w:t>
      </w:r>
      <w:r w:rsidR="008543F3" w:rsidRPr="00DE65A2">
        <w:rPr>
          <w:sz w:val="28"/>
        </w:rPr>
        <w:t>次会议审议通过了《关于公司与百年人寿保险股份有限公司</w:t>
      </w:r>
      <w:r w:rsidRPr="00DE65A2">
        <w:rPr>
          <w:rFonts w:hint="eastAsia"/>
          <w:sz w:val="28"/>
        </w:rPr>
        <w:t>签署金融产品投资框架协议</w:t>
      </w:r>
      <w:r w:rsidR="008543F3" w:rsidRPr="00DE65A2">
        <w:rPr>
          <w:sz w:val="28"/>
        </w:rPr>
        <w:t>的议案》。参加表决的董事人数符合法定比例，会议的召开及表决合法有效。</w:t>
      </w:r>
    </w:p>
    <w:p w:rsidR="008543F3" w:rsidRPr="00121EB5" w:rsidRDefault="008543F3" w:rsidP="00121EB5">
      <w:pPr>
        <w:spacing w:line="360" w:lineRule="auto"/>
        <w:ind w:firstLineChars="200" w:firstLine="560"/>
        <w:rPr>
          <w:sz w:val="28"/>
        </w:rPr>
      </w:pPr>
      <w:r w:rsidRPr="00205165">
        <w:rPr>
          <w:sz w:val="28"/>
        </w:rPr>
        <w:t>百年保险资管全体独立董事对此项交易进行了审慎审查，一致表示同意。</w:t>
      </w:r>
    </w:p>
    <w:p w:rsidR="008543F3" w:rsidRPr="00121EB5" w:rsidRDefault="008543F3" w:rsidP="00121EB5">
      <w:pPr>
        <w:spacing w:line="360" w:lineRule="auto"/>
        <w:ind w:firstLineChars="200" w:firstLine="560"/>
        <w:rPr>
          <w:sz w:val="28"/>
        </w:rPr>
      </w:pPr>
      <w:r w:rsidRPr="00121EB5">
        <w:rPr>
          <w:sz w:val="28"/>
        </w:rPr>
        <w:t>六、其他需要披露的信息</w:t>
      </w:r>
    </w:p>
    <w:p w:rsidR="008543F3" w:rsidRPr="00121EB5" w:rsidRDefault="008543F3" w:rsidP="00121EB5">
      <w:pPr>
        <w:spacing w:line="360" w:lineRule="auto"/>
        <w:ind w:firstLineChars="200" w:firstLine="560"/>
        <w:rPr>
          <w:sz w:val="28"/>
        </w:rPr>
      </w:pPr>
      <w:r w:rsidRPr="00121EB5">
        <w:rPr>
          <w:sz w:val="28"/>
        </w:rPr>
        <w:t>我公司承诺：已充分知晓开展此项交易的责任和风险，并对本公告所披露信息的真实性、准确性、完整性和合规性负责，愿意接受有</w:t>
      </w:r>
      <w:r w:rsidRPr="00121EB5">
        <w:rPr>
          <w:sz w:val="28"/>
        </w:rPr>
        <w:lastRenderedPageBreak/>
        <w:t>关方面监督。对本公告所披露信息如有异议，可以于本公告发布之日起</w:t>
      </w:r>
      <w:r w:rsidRPr="00121EB5">
        <w:rPr>
          <w:sz w:val="28"/>
        </w:rPr>
        <w:t xml:space="preserve">10 </w:t>
      </w:r>
      <w:r w:rsidRPr="00121EB5">
        <w:rPr>
          <w:sz w:val="28"/>
        </w:rPr>
        <w:t>个工作日内，向中国</w:t>
      </w:r>
      <w:r w:rsidR="002F49B0">
        <w:rPr>
          <w:rFonts w:hint="eastAsia"/>
          <w:sz w:val="28"/>
        </w:rPr>
        <w:t>银</w:t>
      </w:r>
      <w:r w:rsidRPr="00121EB5">
        <w:rPr>
          <w:sz w:val="28"/>
        </w:rPr>
        <w:t>保监会保险资金运用监管部反映。</w:t>
      </w:r>
    </w:p>
    <w:p w:rsidR="00B00D10" w:rsidRPr="00121EB5" w:rsidRDefault="00B00D10" w:rsidP="00121EB5">
      <w:pPr>
        <w:spacing w:line="360" w:lineRule="auto"/>
        <w:ind w:firstLineChars="200" w:firstLine="560"/>
        <w:rPr>
          <w:sz w:val="28"/>
        </w:rPr>
      </w:pPr>
    </w:p>
    <w:sectPr w:rsidR="00B00D10" w:rsidRPr="00121E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9C0" w:rsidRDefault="005C19C0" w:rsidP="002F49B0">
      <w:r>
        <w:separator/>
      </w:r>
    </w:p>
  </w:endnote>
  <w:endnote w:type="continuationSeparator" w:id="0">
    <w:p w:rsidR="005C19C0" w:rsidRDefault="005C19C0" w:rsidP="002F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9C0" w:rsidRDefault="005C19C0" w:rsidP="002F49B0">
      <w:r>
        <w:separator/>
      </w:r>
    </w:p>
  </w:footnote>
  <w:footnote w:type="continuationSeparator" w:id="0">
    <w:p w:rsidR="005C19C0" w:rsidRDefault="005C19C0" w:rsidP="002F49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C64DE"/>
    <w:multiLevelType w:val="multilevel"/>
    <w:tmpl w:val="CA548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3F3"/>
    <w:rsid w:val="00080A30"/>
    <w:rsid w:val="000C7480"/>
    <w:rsid w:val="001100D3"/>
    <w:rsid w:val="00121EB5"/>
    <w:rsid w:val="00133D07"/>
    <w:rsid w:val="001A6A80"/>
    <w:rsid w:val="00205165"/>
    <w:rsid w:val="002442B5"/>
    <w:rsid w:val="002F49B0"/>
    <w:rsid w:val="003B67E0"/>
    <w:rsid w:val="003B74D7"/>
    <w:rsid w:val="003F1A86"/>
    <w:rsid w:val="004C053D"/>
    <w:rsid w:val="004E7038"/>
    <w:rsid w:val="005527B5"/>
    <w:rsid w:val="005B33CC"/>
    <w:rsid w:val="005C0FFB"/>
    <w:rsid w:val="005C19C0"/>
    <w:rsid w:val="006C0CEC"/>
    <w:rsid w:val="006C3C70"/>
    <w:rsid w:val="00716641"/>
    <w:rsid w:val="00752CCC"/>
    <w:rsid w:val="00753600"/>
    <w:rsid w:val="007B2591"/>
    <w:rsid w:val="007F6B5A"/>
    <w:rsid w:val="00804F0C"/>
    <w:rsid w:val="00813F4A"/>
    <w:rsid w:val="008543F3"/>
    <w:rsid w:val="008853EC"/>
    <w:rsid w:val="00924F06"/>
    <w:rsid w:val="009277D5"/>
    <w:rsid w:val="00AA0663"/>
    <w:rsid w:val="00AD68AA"/>
    <w:rsid w:val="00B00D10"/>
    <w:rsid w:val="00B9063E"/>
    <w:rsid w:val="00C431B8"/>
    <w:rsid w:val="00C67AA9"/>
    <w:rsid w:val="00CC75C0"/>
    <w:rsid w:val="00DE65A2"/>
    <w:rsid w:val="00E10402"/>
    <w:rsid w:val="00E177AB"/>
    <w:rsid w:val="00ED64E6"/>
    <w:rsid w:val="00F41F63"/>
    <w:rsid w:val="00F54CA1"/>
    <w:rsid w:val="00FA3477"/>
    <w:rsid w:val="00FB2235"/>
    <w:rsid w:val="00FC6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F49B0"/>
    <w:rPr>
      <w:sz w:val="18"/>
      <w:szCs w:val="18"/>
    </w:rPr>
  </w:style>
  <w:style w:type="character" w:customStyle="1" w:styleId="Char">
    <w:name w:val="批注框文本 Char"/>
    <w:basedOn w:val="a0"/>
    <w:link w:val="a3"/>
    <w:uiPriority w:val="99"/>
    <w:semiHidden/>
    <w:rsid w:val="002F49B0"/>
    <w:rPr>
      <w:sz w:val="18"/>
      <w:szCs w:val="18"/>
    </w:rPr>
  </w:style>
  <w:style w:type="character" w:styleId="a4">
    <w:name w:val="annotation reference"/>
    <w:basedOn w:val="a0"/>
    <w:uiPriority w:val="99"/>
    <w:semiHidden/>
    <w:unhideWhenUsed/>
    <w:rsid w:val="002F49B0"/>
    <w:rPr>
      <w:sz w:val="21"/>
      <w:szCs w:val="21"/>
    </w:rPr>
  </w:style>
  <w:style w:type="paragraph" w:styleId="a5">
    <w:name w:val="annotation text"/>
    <w:basedOn w:val="a"/>
    <w:link w:val="Char0"/>
    <w:uiPriority w:val="99"/>
    <w:semiHidden/>
    <w:unhideWhenUsed/>
    <w:rsid w:val="002F49B0"/>
    <w:pPr>
      <w:jc w:val="left"/>
    </w:pPr>
  </w:style>
  <w:style w:type="character" w:customStyle="1" w:styleId="Char0">
    <w:name w:val="批注文字 Char"/>
    <w:basedOn w:val="a0"/>
    <w:link w:val="a5"/>
    <w:uiPriority w:val="99"/>
    <w:semiHidden/>
    <w:rsid w:val="002F49B0"/>
  </w:style>
  <w:style w:type="paragraph" w:styleId="a6">
    <w:name w:val="annotation subject"/>
    <w:basedOn w:val="a5"/>
    <w:next w:val="a5"/>
    <w:link w:val="Char1"/>
    <w:uiPriority w:val="99"/>
    <w:semiHidden/>
    <w:unhideWhenUsed/>
    <w:rsid w:val="002F49B0"/>
    <w:rPr>
      <w:b/>
      <w:bCs/>
    </w:rPr>
  </w:style>
  <w:style w:type="character" w:customStyle="1" w:styleId="Char1">
    <w:name w:val="批注主题 Char"/>
    <w:basedOn w:val="Char0"/>
    <w:link w:val="a6"/>
    <w:uiPriority w:val="99"/>
    <w:semiHidden/>
    <w:rsid w:val="002F49B0"/>
    <w:rPr>
      <w:b/>
      <w:bCs/>
    </w:rPr>
  </w:style>
  <w:style w:type="paragraph" w:styleId="a7">
    <w:name w:val="header"/>
    <w:basedOn w:val="a"/>
    <w:link w:val="Char2"/>
    <w:uiPriority w:val="99"/>
    <w:unhideWhenUsed/>
    <w:rsid w:val="002F49B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2F49B0"/>
    <w:rPr>
      <w:sz w:val="18"/>
      <w:szCs w:val="18"/>
    </w:rPr>
  </w:style>
  <w:style w:type="paragraph" w:styleId="a8">
    <w:name w:val="footer"/>
    <w:basedOn w:val="a"/>
    <w:link w:val="Char3"/>
    <w:uiPriority w:val="99"/>
    <w:unhideWhenUsed/>
    <w:rsid w:val="002F49B0"/>
    <w:pPr>
      <w:tabs>
        <w:tab w:val="center" w:pos="4153"/>
        <w:tab w:val="right" w:pos="8306"/>
      </w:tabs>
      <w:snapToGrid w:val="0"/>
      <w:jc w:val="left"/>
    </w:pPr>
    <w:rPr>
      <w:sz w:val="18"/>
      <w:szCs w:val="18"/>
    </w:rPr>
  </w:style>
  <w:style w:type="character" w:customStyle="1" w:styleId="Char3">
    <w:name w:val="页脚 Char"/>
    <w:basedOn w:val="a0"/>
    <w:link w:val="a8"/>
    <w:uiPriority w:val="99"/>
    <w:rsid w:val="002F49B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F49B0"/>
    <w:rPr>
      <w:sz w:val="18"/>
      <w:szCs w:val="18"/>
    </w:rPr>
  </w:style>
  <w:style w:type="character" w:customStyle="1" w:styleId="Char">
    <w:name w:val="批注框文本 Char"/>
    <w:basedOn w:val="a0"/>
    <w:link w:val="a3"/>
    <w:uiPriority w:val="99"/>
    <w:semiHidden/>
    <w:rsid w:val="002F49B0"/>
    <w:rPr>
      <w:sz w:val="18"/>
      <w:szCs w:val="18"/>
    </w:rPr>
  </w:style>
  <w:style w:type="character" w:styleId="a4">
    <w:name w:val="annotation reference"/>
    <w:basedOn w:val="a0"/>
    <w:uiPriority w:val="99"/>
    <w:semiHidden/>
    <w:unhideWhenUsed/>
    <w:rsid w:val="002F49B0"/>
    <w:rPr>
      <w:sz w:val="21"/>
      <w:szCs w:val="21"/>
    </w:rPr>
  </w:style>
  <w:style w:type="paragraph" w:styleId="a5">
    <w:name w:val="annotation text"/>
    <w:basedOn w:val="a"/>
    <w:link w:val="Char0"/>
    <w:uiPriority w:val="99"/>
    <w:semiHidden/>
    <w:unhideWhenUsed/>
    <w:rsid w:val="002F49B0"/>
    <w:pPr>
      <w:jc w:val="left"/>
    </w:pPr>
  </w:style>
  <w:style w:type="character" w:customStyle="1" w:styleId="Char0">
    <w:name w:val="批注文字 Char"/>
    <w:basedOn w:val="a0"/>
    <w:link w:val="a5"/>
    <w:uiPriority w:val="99"/>
    <w:semiHidden/>
    <w:rsid w:val="002F49B0"/>
  </w:style>
  <w:style w:type="paragraph" w:styleId="a6">
    <w:name w:val="annotation subject"/>
    <w:basedOn w:val="a5"/>
    <w:next w:val="a5"/>
    <w:link w:val="Char1"/>
    <w:uiPriority w:val="99"/>
    <w:semiHidden/>
    <w:unhideWhenUsed/>
    <w:rsid w:val="002F49B0"/>
    <w:rPr>
      <w:b/>
      <w:bCs/>
    </w:rPr>
  </w:style>
  <w:style w:type="character" w:customStyle="1" w:styleId="Char1">
    <w:name w:val="批注主题 Char"/>
    <w:basedOn w:val="Char0"/>
    <w:link w:val="a6"/>
    <w:uiPriority w:val="99"/>
    <w:semiHidden/>
    <w:rsid w:val="002F49B0"/>
    <w:rPr>
      <w:b/>
      <w:bCs/>
    </w:rPr>
  </w:style>
  <w:style w:type="paragraph" w:styleId="a7">
    <w:name w:val="header"/>
    <w:basedOn w:val="a"/>
    <w:link w:val="Char2"/>
    <w:uiPriority w:val="99"/>
    <w:unhideWhenUsed/>
    <w:rsid w:val="002F49B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2F49B0"/>
    <w:rPr>
      <w:sz w:val="18"/>
      <w:szCs w:val="18"/>
    </w:rPr>
  </w:style>
  <w:style w:type="paragraph" w:styleId="a8">
    <w:name w:val="footer"/>
    <w:basedOn w:val="a"/>
    <w:link w:val="Char3"/>
    <w:uiPriority w:val="99"/>
    <w:unhideWhenUsed/>
    <w:rsid w:val="002F49B0"/>
    <w:pPr>
      <w:tabs>
        <w:tab w:val="center" w:pos="4153"/>
        <w:tab w:val="right" w:pos="8306"/>
      </w:tabs>
      <w:snapToGrid w:val="0"/>
      <w:jc w:val="left"/>
    </w:pPr>
    <w:rPr>
      <w:sz w:val="18"/>
      <w:szCs w:val="18"/>
    </w:rPr>
  </w:style>
  <w:style w:type="character" w:customStyle="1" w:styleId="Char3">
    <w:name w:val="页脚 Char"/>
    <w:basedOn w:val="a0"/>
    <w:link w:val="a8"/>
    <w:uiPriority w:val="99"/>
    <w:rsid w:val="002F49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287368">
      <w:bodyDiv w:val="1"/>
      <w:marLeft w:val="0"/>
      <w:marRight w:val="0"/>
      <w:marTop w:val="0"/>
      <w:marBottom w:val="0"/>
      <w:divBdr>
        <w:top w:val="none" w:sz="0" w:space="0" w:color="auto"/>
        <w:left w:val="none" w:sz="0" w:space="0" w:color="auto"/>
        <w:bottom w:val="none" w:sz="0" w:space="0" w:color="auto"/>
        <w:right w:val="none" w:sz="0" w:space="0" w:color="auto"/>
      </w:divBdr>
      <w:divsChild>
        <w:div w:id="1268005944">
          <w:marLeft w:val="0"/>
          <w:marRight w:val="0"/>
          <w:marTop w:val="750"/>
          <w:marBottom w:val="600"/>
          <w:divBdr>
            <w:top w:val="none" w:sz="0" w:space="0" w:color="auto"/>
            <w:left w:val="none" w:sz="0" w:space="0" w:color="auto"/>
            <w:bottom w:val="none" w:sz="0" w:space="0" w:color="auto"/>
            <w:right w:val="none" w:sz="0" w:space="0" w:color="auto"/>
          </w:divBdr>
        </w:div>
        <w:div w:id="99498151">
          <w:marLeft w:val="0"/>
          <w:marRight w:val="0"/>
          <w:marTop w:val="0"/>
          <w:marBottom w:val="0"/>
          <w:divBdr>
            <w:top w:val="none" w:sz="0" w:space="0" w:color="auto"/>
            <w:left w:val="none" w:sz="0" w:space="0" w:color="auto"/>
            <w:bottom w:val="none" w:sz="0" w:space="0" w:color="auto"/>
            <w:right w:val="none" w:sz="0" w:space="0" w:color="auto"/>
          </w:divBdr>
          <w:divsChild>
            <w:div w:id="4989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江顺海</dc:creator>
  <cp:lastModifiedBy>江顺海</cp:lastModifiedBy>
  <cp:revision>87</cp:revision>
  <dcterms:created xsi:type="dcterms:W3CDTF">2018-04-26T09:04:00Z</dcterms:created>
  <dcterms:modified xsi:type="dcterms:W3CDTF">2018-05-08T06:30:00Z</dcterms:modified>
</cp:coreProperties>
</file>